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cs="宋体"/>
          <w:kern w:val="0"/>
          <w:sz w:val="32"/>
          <w:szCs w:val="32"/>
        </w:rPr>
        <w:t>：</w:t>
      </w:r>
    </w:p>
    <w:p>
      <w:pPr>
        <w:spacing w:line="540" w:lineRule="exact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中国高等教育学会</w:t>
      </w:r>
    </w:p>
    <w:p>
      <w:pPr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高等教育科学研究“十三五”规划课题指南</w:t>
      </w:r>
    </w:p>
    <w:p>
      <w:pPr>
        <w:numPr>
          <w:ilvl w:val="0"/>
          <w:numId w:val="1"/>
        </w:num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重大攻关课题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建设</w:t>
      </w:r>
      <w:r>
        <w:rPr>
          <w:rFonts w:ascii="仿宋_GB2312" w:hAnsi="宋体" w:eastAsia="仿宋_GB2312"/>
          <w:sz w:val="32"/>
          <w:szCs w:val="32"/>
        </w:rPr>
        <w:t>高等教育强国</w:t>
      </w:r>
      <w:r>
        <w:rPr>
          <w:rFonts w:hint="eastAsia" w:ascii="仿宋_GB2312" w:hAnsi="宋体" w:eastAsia="仿宋_GB2312"/>
          <w:sz w:val="32"/>
          <w:szCs w:val="32"/>
        </w:rPr>
        <w:t>道路跟踪研究；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以新发展理念提升</w:t>
      </w:r>
      <w:r>
        <w:rPr>
          <w:rFonts w:ascii="仿宋_GB2312" w:hAnsi="宋体" w:eastAsia="仿宋_GB2312"/>
          <w:sz w:val="32"/>
          <w:szCs w:val="32"/>
        </w:rPr>
        <w:t>我国高等教育国际竞争力研究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.“一带一路”背景下我国高等教育国际化研究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面向</w:t>
      </w:r>
      <w:r>
        <w:rPr>
          <w:rFonts w:ascii="仿宋_GB2312" w:hAnsi="宋体" w:eastAsia="仿宋_GB2312"/>
          <w:sz w:val="32"/>
          <w:szCs w:val="32"/>
        </w:rPr>
        <w:t>2030</w:t>
      </w:r>
      <w:r>
        <w:rPr>
          <w:rFonts w:hint="eastAsia" w:ascii="仿宋_GB2312" w:hAnsi="宋体" w:eastAsia="仿宋_GB2312"/>
          <w:sz w:val="32"/>
          <w:szCs w:val="32"/>
        </w:rPr>
        <w:t>我国</w:t>
      </w:r>
      <w:r>
        <w:rPr>
          <w:rFonts w:ascii="仿宋_GB2312" w:hAnsi="宋体" w:eastAsia="仿宋_GB2312"/>
          <w:sz w:val="32"/>
          <w:szCs w:val="32"/>
        </w:rPr>
        <w:t>高等教育结构问题研究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5.深化改革，促进高等教育公平的研究；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高校创新创业教育</w:t>
      </w:r>
      <w:r>
        <w:rPr>
          <w:rFonts w:ascii="仿宋_GB2312" w:hAnsi="宋体" w:eastAsia="仿宋_GB2312"/>
          <w:sz w:val="32"/>
          <w:szCs w:val="32"/>
        </w:rPr>
        <w:t>师资队伍建设研究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“互联网+”课程——在线开放课程群建设的创新与实践；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提高高校课堂教学质量的实证研究；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中国制造2025对工程技术人才培养的新要求；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健康中国建设对医学人才培养的新要求。</w:t>
      </w:r>
    </w:p>
    <w:p>
      <w:pPr>
        <w:numPr>
          <w:ilvl w:val="0"/>
          <w:numId w:val="1"/>
        </w:num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重点调研课题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高校科研与教学深度融合教改经验的综合研究；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高校理论教学与实践教学深度融合教改经验的综合研究；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高校信息技术与教学深度融合教改经验的综合研究；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高校校内资源与社会资源深度融合教改经验的综合研究；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高校人才培养与社会需求深度融合教改经验的综合研究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高校信息公开和公开信息监测分析研究；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基于高校信息公开条件下《本科年度教学质量报告》的问题与完善研究；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分支机构专业领域改革经验调研；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中外合作办学的调查研究；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民办高校办学机制的调查研究。</w:t>
      </w:r>
    </w:p>
    <w:p>
      <w:pPr/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022719">
    <w:nsid w:val="002E1F7F"/>
    <w:multiLevelType w:val="multilevel"/>
    <w:tmpl w:val="002E1F7F"/>
    <w:lvl w:ilvl="0" w:tentative="1">
      <w:start w:val="1"/>
      <w:numFmt w:val="japaneseCounting"/>
      <w:lvlText w:val="%1、"/>
      <w:lvlJc w:val="left"/>
      <w:pPr>
        <w:ind w:left="1563" w:hanging="720"/>
      </w:pPr>
      <w:rPr>
        <w:rFonts w:hint="default"/>
      </w:rPr>
    </w:lvl>
    <w:lvl w:ilvl="1" w:tentative="1">
      <w:start w:val="1"/>
      <w:numFmt w:val="decimal"/>
      <w:lvlText w:val="%2．"/>
      <w:lvlJc w:val="left"/>
      <w:pPr>
        <w:ind w:left="1983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03" w:hanging="420"/>
      </w:pPr>
    </w:lvl>
    <w:lvl w:ilvl="3" w:tentative="1">
      <w:start w:val="1"/>
      <w:numFmt w:val="decimal"/>
      <w:lvlText w:val="%4."/>
      <w:lvlJc w:val="left"/>
      <w:pPr>
        <w:ind w:left="2523" w:hanging="420"/>
      </w:pPr>
    </w:lvl>
    <w:lvl w:ilvl="4" w:tentative="1">
      <w:start w:val="1"/>
      <w:numFmt w:val="lowerLetter"/>
      <w:lvlText w:val="%5)"/>
      <w:lvlJc w:val="left"/>
      <w:pPr>
        <w:ind w:left="2943" w:hanging="420"/>
      </w:pPr>
    </w:lvl>
    <w:lvl w:ilvl="5" w:tentative="1">
      <w:start w:val="1"/>
      <w:numFmt w:val="lowerRoman"/>
      <w:lvlText w:val="%6."/>
      <w:lvlJc w:val="right"/>
      <w:pPr>
        <w:ind w:left="3363" w:hanging="420"/>
      </w:pPr>
    </w:lvl>
    <w:lvl w:ilvl="6" w:tentative="1">
      <w:start w:val="1"/>
      <w:numFmt w:val="decimal"/>
      <w:lvlText w:val="%7."/>
      <w:lvlJc w:val="left"/>
      <w:pPr>
        <w:ind w:left="3783" w:hanging="420"/>
      </w:pPr>
    </w:lvl>
    <w:lvl w:ilvl="7" w:tentative="1">
      <w:start w:val="1"/>
      <w:numFmt w:val="lowerLetter"/>
      <w:lvlText w:val="%8)"/>
      <w:lvlJc w:val="left"/>
      <w:pPr>
        <w:ind w:left="4203" w:hanging="420"/>
      </w:pPr>
    </w:lvl>
    <w:lvl w:ilvl="8" w:tentative="1">
      <w:start w:val="1"/>
      <w:numFmt w:val="lowerRoman"/>
      <w:lvlText w:val="%9."/>
      <w:lvlJc w:val="right"/>
      <w:pPr>
        <w:ind w:left="4623" w:hanging="420"/>
      </w:pPr>
    </w:lvl>
  </w:abstractNum>
  <w:num w:numId="1">
    <w:abstractNumId w:val="30227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F6"/>
    <w:rsid w:val="001E3FF6"/>
    <w:rsid w:val="007758A4"/>
    <w:rsid w:val="224C40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2016-03-25T07:57:00Z</dcterms:created>
  <dc:creator>lenovo</dc:creator>
  <cp:lastModifiedBy>Dell</cp:lastModifiedBy>
  <dcterms:modified xsi:type="dcterms:W3CDTF">2016-03-30T01:59:11Z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